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A 2007 8 vom 19. April 2007</w:t>
      </w:r>
    </w:p>
    <w:p>
      <w:r>
        <w:t>GR Gerichte, 2007-04-19, DE</w:t>
      </w:r>
    </w:p>
    <w:p>
      <w:r>
        <w:rPr>
          <w:b/>
        </w:rPr>
        <w:t xml:space="preserve">Quelle: </w:t>
      </w:r>
      <w:r>
        <w:t>https://mcp.opencaselaw.ch/entscheid/gr_gerichte_A 2007 8</w:t>
      </w:r>
    </w:p>
    <w:p>
      <w:r>
        <w:t>FR: GR_GERICHTE A 2007 8 du 19 avril 2007</w:t>
      </w:r>
    </w:p>
    <w:p>
      <w:r>
        <w:t>IT: GR_GERICHTE A 2007 8 del 19 aprile 2007</w:t>
      </w:r>
    </w:p>
    <w:p>
      <w:pPr>
        <w:pStyle w:val="Heading2"/>
      </w:pPr>
      <w:r>
        <w:t>Regeste</w:t>
      </w:r>
    </w:p>
    <w:p>
      <w:r>
        <w:t>Kantons- und direkte Bundessteuer | Einkommenssteuer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Gerichtskosten, bestehend - aus einer Staatsgebühr von Fr. 1'500.-- - und den Kanzleiauslagen von Fr. 181.-- zusammen Fr. 1'681.-- gehen zulasten von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